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66304" w:rsidP="00F01A2F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F01A2F">
              <w:rPr>
                <w:rFonts w:ascii="Times New Roman" w:hAnsi="Times New Roman"/>
                <w:sz w:val="28"/>
                <w:u w:val="single"/>
              </w:rPr>
              <w:t>11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F01A2F">
              <w:rPr>
                <w:rFonts w:ascii="Times New Roman" w:hAnsi="Times New Roman"/>
                <w:sz w:val="28"/>
                <w:u w:val="single"/>
              </w:rPr>
              <w:t>марта</w:t>
            </w:r>
            <w:r>
              <w:rPr>
                <w:rFonts w:ascii="Times New Roman" w:hAnsi="Times New Roman"/>
                <w:sz w:val="28"/>
              </w:rPr>
              <w:t xml:space="preserve">  20</w:t>
            </w:r>
            <w:r w:rsidR="00617E48">
              <w:rPr>
                <w:rFonts w:ascii="Times New Roman" w:hAnsi="Times New Roman"/>
                <w:sz w:val="28"/>
              </w:rPr>
              <w:t>20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F01A2F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A1315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F01A2F">
              <w:rPr>
                <w:rFonts w:ascii="Times New Roman" w:hAnsi="Times New Roman"/>
                <w:sz w:val="28"/>
                <w:u w:val="single"/>
              </w:rPr>
              <w:t>91</w:t>
            </w:r>
            <w:r w:rsidR="00EA59E6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</w:t>
      </w:r>
      <w:r w:rsidR="00617E48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</w:t>
      </w:r>
      <w:r w:rsidR="00617E48">
        <w:rPr>
          <w:rFonts w:ascii="Times New Roman" w:hAnsi="Times New Roman"/>
          <w:sz w:val="28"/>
          <w:szCs w:val="28"/>
        </w:rPr>
        <w:t>1</w:t>
      </w:r>
      <w:r w:rsidR="005902DD">
        <w:rPr>
          <w:rFonts w:ascii="Times New Roman" w:hAnsi="Times New Roman"/>
          <w:sz w:val="28"/>
          <w:szCs w:val="28"/>
        </w:rPr>
        <w:t>-20</w:t>
      </w:r>
      <w:r w:rsidR="00617E48">
        <w:rPr>
          <w:rFonts w:ascii="Times New Roman" w:hAnsi="Times New Roman"/>
          <w:sz w:val="28"/>
          <w:szCs w:val="28"/>
        </w:rPr>
        <w:t>22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B57839">
        <w:rPr>
          <w:rFonts w:ascii="Times New Roman" w:hAnsi="Times New Roman"/>
          <w:color w:val="000000"/>
          <w:sz w:val="28"/>
          <w:szCs w:val="28"/>
        </w:rPr>
        <w:t>; от 08.10.2019 №365-п</w:t>
      </w:r>
      <w:r w:rsidR="007A1D5C">
        <w:rPr>
          <w:rFonts w:ascii="Times New Roman" w:hAnsi="Times New Roman"/>
          <w:color w:val="000000"/>
          <w:sz w:val="28"/>
          <w:szCs w:val="28"/>
        </w:rPr>
        <w:t>; от 30.10.2019 № 394-п</w:t>
      </w:r>
      <w:r w:rsidR="00CD0408">
        <w:rPr>
          <w:rFonts w:ascii="Times New Roman" w:hAnsi="Times New Roman"/>
          <w:color w:val="000000"/>
          <w:sz w:val="28"/>
          <w:szCs w:val="28"/>
        </w:rPr>
        <w:t>;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 от 31.10.2019 № 400-п;</w:t>
      </w:r>
      <w:r w:rsidR="00CD0408">
        <w:rPr>
          <w:rFonts w:ascii="Times New Roman" w:hAnsi="Times New Roman"/>
          <w:color w:val="000000"/>
          <w:sz w:val="28"/>
          <w:szCs w:val="28"/>
        </w:rPr>
        <w:t xml:space="preserve"> от 22.11.2019 №443-п</w:t>
      </w:r>
      <w:r w:rsidR="00D7369A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="00D7369A">
        <w:rPr>
          <w:rFonts w:ascii="Times New Roman" w:hAnsi="Times New Roman"/>
          <w:color w:val="000000"/>
          <w:sz w:val="28"/>
          <w:szCs w:val="28"/>
        </w:rPr>
        <w:t xml:space="preserve"> от 06.12.2019 №471-п</w:t>
      </w:r>
      <w:r w:rsidR="00FB6AB0">
        <w:rPr>
          <w:rFonts w:ascii="Times New Roman" w:hAnsi="Times New Roman"/>
          <w:color w:val="000000"/>
          <w:sz w:val="28"/>
          <w:szCs w:val="28"/>
        </w:rPr>
        <w:t>; от 16.12.2019 № 487-п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; от </w:t>
      </w:r>
      <w:r w:rsidR="005E27C9">
        <w:rPr>
          <w:rFonts w:ascii="Times New Roman" w:hAnsi="Times New Roman"/>
          <w:color w:val="000000"/>
          <w:sz w:val="28"/>
          <w:szCs w:val="28"/>
        </w:rPr>
        <w:t>19</w:t>
      </w:r>
      <w:r w:rsidR="006A4EFF">
        <w:rPr>
          <w:rFonts w:ascii="Times New Roman" w:hAnsi="Times New Roman"/>
          <w:color w:val="000000"/>
          <w:sz w:val="28"/>
          <w:szCs w:val="28"/>
        </w:rPr>
        <w:t>.12.2019 № 511-п</w:t>
      </w:r>
      <w:r w:rsidR="00182683">
        <w:rPr>
          <w:rFonts w:ascii="Times New Roman" w:hAnsi="Times New Roman"/>
          <w:color w:val="000000"/>
          <w:sz w:val="28"/>
          <w:szCs w:val="28"/>
        </w:rPr>
        <w:t>;</w:t>
      </w:r>
      <w:r w:rsidR="00182683" w:rsidRPr="00182683">
        <w:t xml:space="preserve"> 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82683">
        <w:rPr>
          <w:rFonts w:ascii="Times New Roman" w:hAnsi="Times New Roman"/>
          <w:color w:val="000000"/>
          <w:sz w:val="28"/>
          <w:szCs w:val="28"/>
        </w:rPr>
        <w:t>28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182683">
        <w:rPr>
          <w:rFonts w:ascii="Times New Roman" w:hAnsi="Times New Roman"/>
          <w:color w:val="000000"/>
          <w:sz w:val="28"/>
          <w:szCs w:val="28"/>
        </w:rPr>
        <w:t>01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182683">
        <w:rPr>
          <w:rFonts w:ascii="Times New Roman" w:hAnsi="Times New Roman"/>
          <w:color w:val="000000"/>
          <w:sz w:val="28"/>
          <w:szCs w:val="28"/>
        </w:rPr>
        <w:t>20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82683">
        <w:rPr>
          <w:rFonts w:ascii="Times New Roman" w:hAnsi="Times New Roman"/>
          <w:color w:val="000000"/>
          <w:sz w:val="28"/>
          <w:szCs w:val="28"/>
        </w:rPr>
        <w:t>2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5-п</w:t>
      </w:r>
      <w:r w:rsidR="000342A6">
        <w:rPr>
          <w:rFonts w:ascii="Times New Roman" w:hAnsi="Times New Roman"/>
          <w:color w:val="000000"/>
          <w:sz w:val="28"/>
          <w:szCs w:val="28"/>
        </w:rPr>
        <w:t>;</w:t>
      </w:r>
      <w:r w:rsidR="000342A6" w:rsidRPr="00182683">
        <w:t xml:space="preserve"> 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342A6">
        <w:rPr>
          <w:rFonts w:ascii="Times New Roman" w:hAnsi="Times New Roman"/>
          <w:color w:val="000000"/>
          <w:sz w:val="28"/>
          <w:szCs w:val="28"/>
        </w:rPr>
        <w:t>10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0342A6">
        <w:rPr>
          <w:rFonts w:ascii="Times New Roman" w:hAnsi="Times New Roman"/>
          <w:color w:val="000000"/>
          <w:sz w:val="28"/>
          <w:szCs w:val="28"/>
        </w:rPr>
        <w:t>02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0342A6">
        <w:rPr>
          <w:rFonts w:ascii="Times New Roman" w:hAnsi="Times New Roman"/>
          <w:color w:val="000000"/>
          <w:sz w:val="28"/>
          <w:szCs w:val="28"/>
        </w:rPr>
        <w:t>20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342A6">
        <w:rPr>
          <w:rFonts w:ascii="Times New Roman" w:hAnsi="Times New Roman"/>
          <w:color w:val="000000"/>
          <w:sz w:val="28"/>
          <w:szCs w:val="28"/>
        </w:rPr>
        <w:t>65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1 228 388 229,94</w:t>
            </w:r>
            <w:r w:rsidR="005B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144 651 623,88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C55DF">
              <w:rPr>
                <w:rFonts w:ascii="Times New Roman" w:hAnsi="Times New Roman"/>
                <w:sz w:val="28"/>
                <w:szCs w:val="28"/>
              </w:rPr>
              <w:t>158 924 264,61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145 819 109,00</w:t>
            </w:r>
            <w:r w:rsidR="003C55DF" w:rsidRPr="003C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142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7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="008A6455">
              <w:rPr>
                <w:rFonts w:ascii="Times New Roman" w:hAnsi="Times New Roman"/>
                <w:sz w:val="28"/>
                <w:szCs w:val="28"/>
              </w:rPr>
              <w:t>9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780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0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12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403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377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143 351 709,00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141 9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576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141 969 609,00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1 144 225 129,70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DA754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DA754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27 210 597,44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F4886">
              <w:rPr>
                <w:rFonts w:ascii="Times New Roman" w:hAnsi="Times New Roman"/>
                <w:sz w:val="28"/>
                <w:szCs w:val="28"/>
              </w:rPr>
              <w:t>28 308 331,44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067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8A6455" w:rsidP="00DA75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84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719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26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1 358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826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72</w:t>
            </w:r>
            <w:r w:rsidR="00AF488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597 6</w:t>
            </w:r>
            <w:r w:rsidR="00AF4886">
              <w:rPr>
                <w:rFonts w:ascii="Times New Roman" w:hAnsi="Times New Roman"/>
                <w:sz w:val="28"/>
                <w:szCs w:val="28"/>
              </w:rPr>
              <w:t>44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,32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5 006 700,00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216 956,74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3 051 589,38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601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946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205 855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рублей.</w:t>
            </w:r>
          </w:p>
          <w:p w:rsidR="004D40BF" w:rsidRPr="00651CF7" w:rsidRDefault="008A6455" w:rsidP="008A6455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2 963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EC71AB" w:rsidRDefault="00EC71AB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3A2D38">
        <w:rPr>
          <w:rFonts w:ascii="Times New Roman" w:hAnsi="Times New Roman"/>
          <w:sz w:val="28"/>
          <w:szCs w:val="28"/>
        </w:rPr>
        <w:t>)</w:t>
      </w:r>
      <w:r w:rsidRPr="003A2D38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A2D38">
        <w:rPr>
          <w:rFonts w:ascii="Times New Roman" w:hAnsi="Times New Roman"/>
          <w:sz w:val="28"/>
          <w:szCs w:val="28"/>
        </w:rPr>
        <w:t xml:space="preserve">риложение № 1 к Паспорту муниципальной программы «Развитие культуры»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3A2D38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614726" w:rsidRPr="00547ED9" w:rsidRDefault="00EC71AB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4726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14726"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="00614726" w:rsidRPr="0034462A">
        <w:rPr>
          <w:rFonts w:ascii="Times New Roman" w:hAnsi="Times New Roman"/>
          <w:sz w:val="28"/>
          <w:szCs w:val="28"/>
        </w:rPr>
        <w:t xml:space="preserve"> № 1</w:t>
      </w:r>
      <w:r w:rsidR="00614726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614726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614726">
        <w:rPr>
          <w:rFonts w:ascii="Times New Roman" w:hAnsi="Times New Roman"/>
          <w:sz w:val="28"/>
          <w:szCs w:val="28"/>
        </w:rPr>
        <w:t>е</w:t>
      </w:r>
      <w:r w:rsidR="00614726"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8F1E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81659" w:rsidRDefault="00EC71AB" w:rsidP="009E782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14726" w:rsidRPr="00574CDC">
        <w:rPr>
          <w:rFonts w:ascii="Times New Roman" w:hAnsi="Times New Roman"/>
          <w:sz w:val="28"/>
          <w:szCs w:val="28"/>
        </w:rPr>
        <w:t>) приложение №</w:t>
      </w:r>
      <w:r w:rsidR="00614726" w:rsidRPr="00601F58">
        <w:rPr>
          <w:rFonts w:ascii="Times New Roman" w:hAnsi="Times New Roman"/>
          <w:sz w:val="28"/>
          <w:szCs w:val="28"/>
        </w:rPr>
        <w:t xml:space="preserve"> 2</w:t>
      </w:r>
      <w:r w:rsidR="00614726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14726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8F1E9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B077FC" w:rsidRDefault="00EC71AB" w:rsidP="00B077FC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B077FC" w:rsidRPr="00574CDC">
        <w:rPr>
          <w:rFonts w:ascii="Times New Roman" w:hAnsi="Times New Roman"/>
          <w:sz w:val="28"/>
          <w:szCs w:val="28"/>
        </w:rPr>
        <w:t xml:space="preserve">) </w:t>
      </w:r>
      <w:r w:rsidR="00B077FC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B077FC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B077FC" w:rsidRDefault="00B077FC" w:rsidP="00B077F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077FC" w:rsidRPr="00F121BD" w:rsidTr="00B077FC">
        <w:trPr>
          <w:trHeight w:val="20"/>
        </w:trPr>
        <w:tc>
          <w:tcPr>
            <w:tcW w:w="3412" w:type="dxa"/>
          </w:tcPr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по ресурсному </w:t>
            </w:r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Общий объем финансирования подпрограммы 1 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составит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89 022 124,00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рублей, в том числе по годам: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30 166 897,00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426 597,00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428 630,00 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 районного бюджета: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29 764 197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314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197,00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316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230,00рублей.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Итого – 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88 394 624,00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</w:t>
            </w:r>
            <w:proofErr w:type="gramStart"/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дств кр</w:t>
            </w:r>
            <w:proofErr w:type="gramEnd"/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аевого бюджета: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2020 год – 402 700,00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–112 400,00рублей;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112 400,00 рублей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Итого – 627 500,00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 федерального бюджета: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2020 год –0,00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2021год –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0,00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–0,00 рублей.</w:t>
            </w:r>
          </w:p>
          <w:p w:rsidR="00B077FC" w:rsidRPr="00B077FC" w:rsidRDefault="00B077FC" w:rsidP="00B077FC">
            <w:pPr>
              <w:suppressAutoHyphens/>
              <w:spacing w:before="12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Итого – 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,00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рублей.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За счет внебюджетных источников: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2020 год – 0,00 рублей;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2021 год – 0,00 рублей;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2022 год – 0,00 рублей.</w:t>
            </w:r>
          </w:p>
          <w:p w:rsidR="00B077FC" w:rsidRPr="00CF53F9" w:rsidRDefault="00B077FC" w:rsidP="00B077F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Итого – 0,00 рублей</w:t>
            </w:r>
          </w:p>
        </w:tc>
      </w:tr>
    </w:tbl>
    <w:p w:rsidR="00B077FC" w:rsidRPr="009E782D" w:rsidRDefault="00B077FC" w:rsidP="009E782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8F1E9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</w:p>
    <w:p w:rsidR="00C64FFB" w:rsidRDefault="00EC71AB" w:rsidP="00C64FF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C64FFB" w:rsidRPr="00A8035A">
        <w:rPr>
          <w:rFonts w:ascii="Times New Roman" w:hAnsi="Times New Roman"/>
          <w:sz w:val="28"/>
          <w:szCs w:val="28"/>
        </w:rPr>
        <w:t xml:space="preserve">) </w:t>
      </w:r>
      <w:r w:rsidR="00C64FFB"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C64FFB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64FFB" w:rsidRPr="00C46D9B" w:rsidTr="00C64FFB">
        <w:trPr>
          <w:trHeight w:val="20"/>
        </w:trPr>
        <w:tc>
          <w:tcPr>
            <w:tcW w:w="3412" w:type="dxa"/>
          </w:tcPr>
          <w:p w:rsidR="00C64FFB" w:rsidRPr="00C46D9B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64FFB" w:rsidRPr="00C46D9B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Общий объем финансирования подпрограммы 2 составит </w:t>
            </w:r>
            <w:r w:rsidR="005B03BE" w:rsidRPr="00C46D9B">
              <w:rPr>
                <w:rFonts w:ascii="Times New Roman" w:eastAsia="Arial" w:hAnsi="Times New Roman"/>
                <w:sz w:val="26"/>
                <w:szCs w:val="26"/>
              </w:rPr>
              <w:t>195 445 720,00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рублей,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в том числе: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2020 год – </w:t>
            </w:r>
            <w:r w:rsidR="005B03BE" w:rsidRPr="00C46D9B">
              <w:rPr>
                <w:rFonts w:ascii="Times New Roman" w:eastAsia="Arial" w:hAnsi="Times New Roman"/>
                <w:sz w:val="26"/>
                <w:szCs w:val="26"/>
              </w:rPr>
              <w:t>64 455 966,00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2021 год – 63 </w:t>
            </w:r>
            <w:r w:rsidR="00F22C4C" w:rsidRPr="00C46D9B">
              <w:rPr>
                <w:rFonts w:ascii="Times New Roman" w:eastAsia="Arial" w:hAnsi="Times New Roman"/>
                <w:sz w:val="26"/>
                <w:szCs w:val="26"/>
              </w:rPr>
              <w:t>490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="00F22C4C" w:rsidRPr="00C46D9B">
              <w:rPr>
                <w:rFonts w:ascii="Times New Roman" w:eastAsia="Arial" w:hAnsi="Times New Roman"/>
                <w:sz w:val="26"/>
                <w:szCs w:val="26"/>
              </w:rPr>
              <w:t>507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>,00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2022 год – 6</w:t>
            </w:r>
            <w:r w:rsidR="00F22C4C" w:rsidRPr="00C46D9B">
              <w:rPr>
                <w:rFonts w:ascii="Times New Roman" w:eastAsia="Arial" w:hAnsi="Times New Roman"/>
                <w:sz w:val="26"/>
                <w:szCs w:val="26"/>
              </w:rPr>
              <w:t>7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="00F22C4C" w:rsidRPr="00C46D9B">
              <w:rPr>
                <w:rFonts w:ascii="Times New Roman" w:eastAsia="Arial" w:hAnsi="Times New Roman"/>
                <w:sz w:val="26"/>
                <w:szCs w:val="26"/>
              </w:rPr>
              <w:t>499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="00F22C4C" w:rsidRPr="00C46D9B">
              <w:rPr>
                <w:rFonts w:ascii="Times New Roman" w:eastAsia="Arial" w:hAnsi="Times New Roman"/>
                <w:sz w:val="26"/>
                <w:szCs w:val="26"/>
              </w:rPr>
              <w:t>247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>,00 рублей.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За счет средств районного бюджета: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2020 год – </w:t>
            </w:r>
            <w:r w:rsidR="005B03BE" w:rsidRPr="00C46D9B">
              <w:rPr>
                <w:rFonts w:ascii="Times New Roman" w:eastAsia="Arial" w:hAnsi="Times New Roman"/>
                <w:sz w:val="26"/>
                <w:szCs w:val="26"/>
              </w:rPr>
              <w:t>63 484 966,00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2021 год – 62 801 231,00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2022 год – 62 801 231,00 рублей.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5B03BE" w:rsidRPr="00C46D9B">
              <w:rPr>
                <w:rFonts w:ascii="Times New Roman" w:eastAsia="Arial" w:hAnsi="Times New Roman"/>
                <w:sz w:val="26"/>
                <w:szCs w:val="26"/>
              </w:rPr>
              <w:t>189 087 428,00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lastRenderedPageBreak/>
              <w:t>За счет сре</w:t>
            </w:r>
            <w:proofErr w:type="gramStart"/>
            <w:r w:rsidRPr="00C46D9B">
              <w:rPr>
                <w:rFonts w:ascii="Times New Roman" w:eastAsia="Arial" w:hAnsi="Times New Roman"/>
                <w:sz w:val="26"/>
                <w:szCs w:val="26"/>
              </w:rPr>
              <w:t>дств кр</w:t>
            </w:r>
            <w:proofErr w:type="gramEnd"/>
            <w:r w:rsidRPr="00C46D9B">
              <w:rPr>
                <w:rFonts w:ascii="Times New Roman" w:eastAsia="Arial" w:hAnsi="Times New Roman"/>
                <w:sz w:val="26"/>
                <w:szCs w:val="26"/>
              </w:rPr>
              <w:t>аевого бюджета: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2020 год – </w:t>
            </w:r>
            <w:r w:rsidR="007D7BB4" w:rsidRPr="00C46D9B">
              <w:rPr>
                <w:rFonts w:ascii="Times New Roman" w:eastAsia="Arial" w:hAnsi="Times New Roman"/>
                <w:sz w:val="26"/>
                <w:szCs w:val="26"/>
              </w:rPr>
              <w:t>571 000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>,00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2021 год – </w:t>
            </w:r>
            <w:r w:rsidR="00F22C4C" w:rsidRPr="00C46D9B">
              <w:rPr>
                <w:rFonts w:ascii="Times New Roman" w:eastAsia="Arial" w:hAnsi="Times New Roman"/>
                <w:sz w:val="26"/>
                <w:szCs w:val="26"/>
              </w:rPr>
              <w:t>72</w:t>
            </w:r>
            <w:r w:rsidR="007732A6" w:rsidRPr="00C46D9B">
              <w:rPr>
                <w:rFonts w:ascii="Times New Roman" w:eastAsia="Arial" w:hAnsi="Times New Roman"/>
                <w:sz w:val="26"/>
                <w:szCs w:val="26"/>
              </w:rPr>
              <w:t> 319,26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2022 год – </w:t>
            </w:r>
            <w:r w:rsidR="007732A6" w:rsidRPr="00C46D9B">
              <w:rPr>
                <w:rFonts w:ascii="Times New Roman" w:eastAsia="Arial" w:hAnsi="Times New Roman"/>
                <w:sz w:val="26"/>
                <w:szCs w:val="26"/>
              </w:rPr>
              <w:t>1 246 426,62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DA7546" w:rsidRPr="00C46D9B" w:rsidRDefault="007D7BB4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Итого –</w:t>
            </w:r>
            <w:r w:rsidR="007732A6" w:rsidRPr="00C46D9B">
              <w:rPr>
                <w:rFonts w:ascii="Times New Roman" w:eastAsia="Arial" w:hAnsi="Times New Roman"/>
                <w:sz w:val="26"/>
                <w:szCs w:val="26"/>
              </w:rPr>
              <w:t>1 889 745,88</w:t>
            </w:r>
            <w:r w:rsidR="00DA7546"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2021 год – </w:t>
            </w:r>
            <w:r w:rsidR="007732A6" w:rsidRPr="00C46D9B">
              <w:rPr>
                <w:rFonts w:ascii="Times New Roman" w:eastAsia="Arial" w:hAnsi="Times New Roman"/>
                <w:sz w:val="26"/>
                <w:szCs w:val="26"/>
              </w:rPr>
              <w:t>216 956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>,</w:t>
            </w:r>
            <w:r w:rsidR="007732A6" w:rsidRPr="00C46D9B">
              <w:rPr>
                <w:rFonts w:ascii="Times New Roman" w:eastAsia="Arial" w:hAnsi="Times New Roman"/>
                <w:sz w:val="26"/>
                <w:szCs w:val="26"/>
              </w:rPr>
              <w:t>74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DA7546" w:rsidRPr="00C46D9B" w:rsidRDefault="007732A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2022 год – 3 051 589,38</w:t>
            </w:r>
            <w:r w:rsidR="00DA7546"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7732A6" w:rsidRPr="00C46D9B">
              <w:rPr>
                <w:rFonts w:ascii="Times New Roman" w:eastAsia="Arial" w:hAnsi="Times New Roman"/>
                <w:sz w:val="26"/>
                <w:szCs w:val="26"/>
              </w:rPr>
              <w:t>3 268 546,12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2020 год – </w:t>
            </w:r>
            <w:r w:rsidR="007D7BB4" w:rsidRPr="00C46D9B">
              <w:rPr>
                <w:rFonts w:ascii="Times New Roman" w:eastAsia="Arial" w:hAnsi="Times New Roman"/>
                <w:sz w:val="26"/>
                <w:szCs w:val="26"/>
              </w:rPr>
              <w:t>400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000,00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>2021 год –</w:t>
            </w:r>
            <w:r w:rsidR="007D7BB4"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40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>0 000,00 рублей;</w:t>
            </w:r>
          </w:p>
          <w:p w:rsidR="00DA7546" w:rsidRPr="00C46D9B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2022 год – </w:t>
            </w:r>
            <w:r w:rsidR="007D7BB4" w:rsidRPr="00C46D9B">
              <w:rPr>
                <w:rFonts w:ascii="Times New Roman" w:eastAsia="Arial" w:hAnsi="Times New Roman"/>
                <w:sz w:val="26"/>
                <w:szCs w:val="26"/>
              </w:rPr>
              <w:t>400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 000,00 рублей.</w:t>
            </w:r>
          </w:p>
          <w:p w:rsidR="00C64FFB" w:rsidRPr="00C46D9B" w:rsidRDefault="00DA7546" w:rsidP="007D7BB4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7D7BB4" w:rsidRPr="00C46D9B">
              <w:rPr>
                <w:rFonts w:ascii="Times New Roman" w:eastAsia="Arial" w:hAnsi="Times New Roman"/>
                <w:sz w:val="26"/>
                <w:szCs w:val="26"/>
              </w:rPr>
              <w:t xml:space="preserve">1 200 </w:t>
            </w:r>
            <w:r w:rsidRPr="00C46D9B">
              <w:rPr>
                <w:rFonts w:ascii="Times New Roman" w:eastAsia="Arial" w:hAnsi="Times New Roman"/>
                <w:sz w:val="26"/>
                <w:szCs w:val="26"/>
              </w:rPr>
              <w:t>000,00 рублей</w:t>
            </w:r>
          </w:p>
        </w:tc>
      </w:tr>
    </w:tbl>
    <w:p w:rsidR="00C64FFB" w:rsidRPr="00C46D9B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6D9B">
        <w:rPr>
          <w:rFonts w:ascii="Times New Roman" w:hAnsi="Times New Roman"/>
          <w:sz w:val="26"/>
          <w:szCs w:val="26"/>
        </w:rPr>
        <w:lastRenderedPageBreak/>
        <w:t xml:space="preserve">б) приложение № 2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C46D9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приложению № </w:t>
      </w:r>
      <w:r w:rsidR="008F1E9C" w:rsidRPr="00C46D9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46D9B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постановлению;</w:t>
      </w:r>
    </w:p>
    <w:p w:rsidR="00081659" w:rsidRPr="00C46D9B" w:rsidRDefault="00EC71AB" w:rsidP="00081659">
      <w:pPr>
        <w:spacing w:before="12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6D9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bookmarkStart w:id="0" w:name="_GoBack"/>
      <w:bookmarkEnd w:id="0"/>
      <w:r w:rsidR="00081659" w:rsidRPr="00C46D9B">
        <w:rPr>
          <w:rFonts w:ascii="Times New Roman" w:eastAsia="Times New Roman" w:hAnsi="Times New Roman"/>
          <w:sz w:val="26"/>
          <w:szCs w:val="26"/>
          <w:lang w:eastAsia="ru-RU"/>
        </w:rPr>
        <w:t>) в приложении №6 к муниципальной программе «Развитие культуры», именуемом «Подпрограмма 4 «</w:t>
      </w:r>
      <w:r w:rsidR="00081659" w:rsidRPr="00C46D9B">
        <w:rPr>
          <w:rFonts w:ascii="Times New Roman" w:hAnsi="Times New Roman"/>
          <w:sz w:val="26"/>
          <w:szCs w:val="26"/>
        </w:rPr>
        <w:t>Обеспечение реализации муниципальной программы</w:t>
      </w:r>
      <w:r w:rsidR="00081659" w:rsidRPr="00C46D9B">
        <w:rPr>
          <w:rFonts w:ascii="Times New Roman" w:eastAsia="Times New Roman" w:hAnsi="Times New Roman"/>
          <w:sz w:val="26"/>
          <w:szCs w:val="26"/>
          <w:lang w:eastAsia="ru-RU"/>
        </w:rPr>
        <w:t>»:</w:t>
      </w:r>
    </w:p>
    <w:p w:rsidR="00081659" w:rsidRPr="00C46D9B" w:rsidRDefault="00081659" w:rsidP="00081659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D9B">
        <w:rPr>
          <w:rFonts w:ascii="Times New Roman" w:eastAsia="Times New Roman" w:hAnsi="Times New Roman"/>
          <w:sz w:val="26"/>
          <w:szCs w:val="26"/>
          <w:lang w:eastAsia="ru-RU"/>
        </w:rPr>
        <w:t>а) в подразделе 1 «Паспорт подпрограммы» строку «</w:t>
      </w:r>
      <w:r w:rsidRPr="00C46D9B">
        <w:rPr>
          <w:rFonts w:ascii="Times New Roman" w:hAnsi="Times New Roman"/>
          <w:sz w:val="26"/>
          <w:szCs w:val="26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081659" w:rsidRPr="00C46D9B" w:rsidTr="00081659">
        <w:trPr>
          <w:trHeight w:val="20"/>
        </w:trPr>
        <w:tc>
          <w:tcPr>
            <w:tcW w:w="3412" w:type="dxa"/>
          </w:tcPr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подпрограммы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 xml:space="preserve">составит </w:t>
            </w:r>
            <w:r w:rsidR="005B03BE" w:rsidRPr="00C46D9B">
              <w:rPr>
                <w:rFonts w:ascii="Times New Roman" w:hAnsi="Times New Roman"/>
                <w:sz w:val="26"/>
                <w:szCs w:val="26"/>
              </w:rPr>
              <w:t>59 200 104,00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 рублей,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="005B03BE" w:rsidRPr="00C46D9B">
              <w:rPr>
                <w:rFonts w:ascii="Times New Roman" w:hAnsi="Times New Roman"/>
                <w:bCs/>
                <w:sz w:val="26"/>
                <w:szCs w:val="26"/>
              </w:rPr>
              <w:t>19 900 300,00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19 649 902,00 </w:t>
            </w: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 xml:space="preserve">2022 год – 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19 649 902,00 </w:t>
            </w: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2021 год – 0,00 рублей;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2022 год – 0,00 рублей.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Итого – 0,00 рублей.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2020 год –0,00 рублей;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2021 год – 0,00 рублей;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2022 год – 0,00 рублей.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sz w:val="26"/>
                <w:szCs w:val="26"/>
              </w:rPr>
              <w:t>Итого –0,00 рублей.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За счет средств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 районного бюджета: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="00F44B67" w:rsidRPr="00C46D9B">
              <w:rPr>
                <w:rFonts w:ascii="Times New Roman" w:hAnsi="Times New Roman"/>
                <w:bCs/>
                <w:sz w:val="26"/>
                <w:szCs w:val="26"/>
              </w:rPr>
              <w:t>19 900 300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2021 год – 19 649 902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2022 год – 19 649 902</w:t>
            </w:r>
            <w:r w:rsidRPr="00C46D9B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Итого –</w:t>
            </w:r>
            <w:r w:rsidR="00F44B67" w:rsidRPr="00C46D9B">
              <w:rPr>
                <w:rFonts w:ascii="Times New Roman" w:hAnsi="Times New Roman"/>
                <w:bCs/>
                <w:sz w:val="26"/>
                <w:szCs w:val="26"/>
              </w:rPr>
              <w:t>59 200 104</w:t>
            </w:r>
            <w:r w:rsidRPr="00C46D9B">
              <w:rPr>
                <w:rFonts w:ascii="Times New Roman" w:hAnsi="Times New Roman"/>
                <w:bCs/>
                <w:sz w:val="26"/>
                <w:szCs w:val="26"/>
              </w:rPr>
              <w:t>,00 рублей.</w:t>
            </w:r>
          </w:p>
          <w:p w:rsidR="00081659" w:rsidRPr="00C46D9B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1659" w:rsidRDefault="00081659" w:rsidP="00B6309C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</w:t>
      </w:r>
      <w:r>
        <w:rPr>
          <w:rFonts w:ascii="Times New Roman" w:hAnsi="Times New Roman"/>
          <w:sz w:val="28"/>
          <w:szCs w:val="28"/>
        </w:rPr>
        <w:lastRenderedPageBreak/>
        <w:t xml:space="preserve">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8F1E9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400E" w:rsidRPr="008B0002" w:rsidRDefault="0011400E" w:rsidP="0011400E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11400E" w:rsidRPr="00CD0408" w:rsidRDefault="0011400E" w:rsidP="001140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 w:rsidR="00F87CB0">
        <w:rPr>
          <w:rFonts w:ascii="Times New Roman" w:hAnsi="Times New Roman"/>
          <w:sz w:val="28"/>
          <w:szCs w:val="28"/>
        </w:rPr>
        <w:t>Настоящее п</w:t>
      </w:r>
      <w:r w:rsidR="00F87CB0" w:rsidRPr="008B0002">
        <w:rPr>
          <w:rFonts w:ascii="Times New Roman" w:hAnsi="Times New Roman"/>
          <w:sz w:val="28"/>
          <w:szCs w:val="28"/>
        </w:rPr>
        <w:t>остановление вступает в силу со дня</w:t>
      </w:r>
      <w:r w:rsidR="005C16F0">
        <w:rPr>
          <w:rFonts w:ascii="Times New Roman" w:hAnsi="Times New Roman"/>
          <w:sz w:val="28"/>
          <w:szCs w:val="28"/>
        </w:rPr>
        <w:t xml:space="preserve"> подписания</w:t>
      </w:r>
      <w:r w:rsidR="00F87CB0" w:rsidRPr="008C46BA">
        <w:rPr>
          <w:rFonts w:ascii="Times New Roman" w:hAnsi="Times New Roman"/>
          <w:sz w:val="28"/>
          <w:szCs w:val="28"/>
        </w:rPr>
        <w:t>.</w:t>
      </w:r>
    </w:p>
    <w:p w:rsidR="00125B8F" w:rsidRDefault="00125B8F" w:rsidP="00D80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8C46B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</w:t>
      </w:r>
      <w:proofErr w:type="gramStart"/>
      <w:r w:rsidRPr="009223A4">
        <w:rPr>
          <w:sz w:val="28"/>
          <w:szCs w:val="28"/>
        </w:rPr>
        <w:t>Северо-Енисейского</w:t>
      </w:r>
      <w:proofErr w:type="gramEnd"/>
      <w:r w:rsidRPr="009223A4">
        <w:rPr>
          <w:sz w:val="28"/>
          <w:szCs w:val="28"/>
        </w:rPr>
        <w:t xml:space="preserve"> района</w:t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F429A3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8C46BA">
        <w:rPr>
          <w:sz w:val="28"/>
          <w:szCs w:val="28"/>
        </w:rPr>
        <w:t xml:space="preserve">И.М. </w:t>
      </w:r>
      <w:proofErr w:type="spellStart"/>
      <w:r w:rsidR="008C46B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4F54C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F01A2F"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F01A2F">
        <w:rPr>
          <w:rFonts w:ascii="Times New Roman" w:hAnsi="Times New Roman"/>
          <w:sz w:val="20"/>
          <w:szCs w:val="20"/>
          <w:u w:val="single"/>
        </w:rPr>
        <w:t>03.</w:t>
      </w:r>
      <w:r w:rsidR="00617E48">
        <w:rPr>
          <w:rFonts w:ascii="Times New Roman" w:hAnsi="Times New Roman"/>
          <w:sz w:val="20"/>
          <w:szCs w:val="20"/>
          <w:u w:val="single"/>
        </w:rPr>
        <w:t>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F01A2F">
        <w:rPr>
          <w:rFonts w:ascii="Times New Roman" w:hAnsi="Times New Roman"/>
          <w:sz w:val="20"/>
          <w:szCs w:val="20"/>
          <w:u w:val="single"/>
        </w:rPr>
        <w:t>91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E05F7E" w:rsidRPr="00E05F7E" w:rsidRDefault="00E05F7E" w:rsidP="00E05F7E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5F7E">
        <w:rPr>
          <w:rFonts w:ascii="Times New Roman" w:eastAsia="Times New Roman" w:hAnsi="Times New Roman"/>
          <w:sz w:val="28"/>
          <w:szCs w:val="28"/>
          <w:lang w:eastAsia="ar-SA"/>
        </w:rPr>
        <w:t xml:space="preserve">Перечень целевых показателей муниципальной программы </w:t>
      </w:r>
      <w:proofErr w:type="gramStart"/>
      <w:r w:rsidRPr="00E05F7E">
        <w:rPr>
          <w:rFonts w:ascii="Times New Roman" w:eastAsia="Times New Roman" w:hAnsi="Times New Roman"/>
          <w:sz w:val="28"/>
          <w:szCs w:val="28"/>
          <w:lang w:eastAsia="ar-SA"/>
        </w:rPr>
        <w:t>Северо-Енисейского</w:t>
      </w:r>
      <w:proofErr w:type="gramEnd"/>
      <w:r w:rsidRPr="00E05F7E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района, с указанием планируемых</w:t>
      </w:r>
    </w:p>
    <w:p w:rsidR="00E05F7E" w:rsidRPr="00E05F7E" w:rsidRDefault="00E05F7E" w:rsidP="00E05F7E">
      <w:pPr>
        <w:suppressAutoHyphens/>
        <w:spacing w:before="12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5F7E">
        <w:rPr>
          <w:rFonts w:ascii="Times New Roman" w:eastAsia="Times New Roman" w:hAnsi="Times New Roman"/>
          <w:sz w:val="28"/>
          <w:szCs w:val="28"/>
          <w:lang w:eastAsia="ar-SA"/>
        </w:rPr>
        <w:t xml:space="preserve">к достижению значений в результате реализации муниципальной программы </w:t>
      </w:r>
      <w:proofErr w:type="gramStart"/>
      <w:r w:rsidRPr="00E05F7E">
        <w:rPr>
          <w:rFonts w:ascii="Times New Roman" w:eastAsia="Times New Roman" w:hAnsi="Times New Roman"/>
          <w:sz w:val="28"/>
          <w:szCs w:val="28"/>
          <w:lang w:eastAsia="ar-SA"/>
        </w:rPr>
        <w:t>Северо-Енисейского</w:t>
      </w:r>
      <w:proofErr w:type="gramEnd"/>
      <w:r w:rsidRPr="00E05F7E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</w:t>
      </w:r>
    </w:p>
    <w:p w:rsidR="00E05F7E" w:rsidRPr="00E05F7E" w:rsidRDefault="00E05F7E" w:rsidP="00E05F7E">
      <w:pPr>
        <w:suppressAutoHyphens/>
        <w:autoSpaceDE w:val="0"/>
        <w:ind w:firstLine="72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tbl>
      <w:tblPr>
        <w:tblW w:w="161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2995"/>
        <w:gridCol w:w="1357"/>
        <w:gridCol w:w="789"/>
        <w:gridCol w:w="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"/>
        <w:gridCol w:w="1127"/>
        <w:gridCol w:w="1523"/>
        <w:gridCol w:w="15"/>
        <w:gridCol w:w="21"/>
      </w:tblGrid>
      <w:tr w:rsidR="00E05F7E" w:rsidRPr="00E05F7E" w:rsidTr="00E05F7E">
        <w:trPr>
          <w:gridAfter w:val="2"/>
          <w:wAfter w:w="36" w:type="dxa"/>
        </w:trPr>
        <w:tc>
          <w:tcPr>
            <w:tcW w:w="629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95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Цели, целевые показатели</w:t>
            </w:r>
          </w:p>
        </w:tc>
        <w:tc>
          <w:tcPr>
            <w:tcW w:w="1357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789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2013год</w:t>
            </w:r>
          </w:p>
        </w:tc>
        <w:tc>
          <w:tcPr>
            <w:tcW w:w="10318" w:type="dxa"/>
            <w:gridSpan w:val="13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Годы реализации программы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  <w:vMerge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vMerge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9" w:type="dxa"/>
            <w:vMerge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2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850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2015 год</w:t>
            </w:r>
          </w:p>
        </w:tc>
        <w:tc>
          <w:tcPr>
            <w:tcW w:w="851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 год</w:t>
            </w:r>
          </w:p>
        </w:tc>
        <w:tc>
          <w:tcPr>
            <w:tcW w:w="850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51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850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2019год</w:t>
            </w:r>
          </w:p>
        </w:tc>
        <w:tc>
          <w:tcPr>
            <w:tcW w:w="851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vMerge w:val="restart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2657" w:type="dxa"/>
            <w:gridSpan w:val="3"/>
            <w:vAlign w:val="center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Годы до конца реализации программы в пятилетнем интервале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95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7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89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7" w:type="dxa"/>
            <w:gridSpan w:val="2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Merge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</w:t>
            </w:r>
          </w:p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8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7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Цель: Создание условий для развития и реализации культурного и духовного потенциала населения Северо-Енисейского района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Задача 1: сохранение и эффективное использование культурного наследия Северо-Енисейского района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1. Сохранение культурного наследия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Процент представленных (во всех формах) музейных предметов от общего количества предметов основного фонда музея 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38,3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38,3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39,1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41,4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39,1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39,1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39,1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39,1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41</w:t>
            </w:r>
          </w:p>
        </w:tc>
      </w:tr>
      <w:tr w:rsidR="00E05F7E" w:rsidRPr="00E05F7E" w:rsidTr="00E05F7E">
        <w:trPr>
          <w:gridAfter w:val="2"/>
          <w:wAfter w:w="36" w:type="dxa"/>
          <w:trHeight w:val="501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посетителей (индивидуальные посещения, экскурсионные посещения, мероприятия музея)</w:t>
            </w:r>
          </w:p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8000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8000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8000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8500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8524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8500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8500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8500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8500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8500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книговыдач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220162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218250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218280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224870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224870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225500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227729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225500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225500</w:t>
            </w:r>
          </w:p>
        </w:tc>
        <w:tc>
          <w:tcPr>
            <w:tcW w:w="858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225500</w:t>
            </w:r>
          </w:p>
        </w:tc>
        <w:tc>
          <w:tcPr>
            <w:tcW w:w="112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225500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225500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1.4.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посещений 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60995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61000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61000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64300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64300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64500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65550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65550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65550</w:t>
            </w:r>
          </w:p>
        </w:tc>
        <w:tc>
          <w:tcPr>
            <w:tcW w:w="858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65550</w:t>
            </w:r>
          </w:p>
        </w:tc>
        <w:tc>
          <w:tcPr>
            <w:tcW w:w="112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65550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65550</w:t>
            </w:r>
          </w:p>
        </w:tc>
      </w:tr>
      <w:tr w:rsidR="00E05F7E" w:rsidRPr="00E05F7E" w:rsidTr="00E05F7E">
        <w:trPr>
          <w:gridAfter w:val="2"/>
          <w:wAfter w:w="36" w:type="dxa"/>
          <w:trHeight w:val="603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1.5.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 библиотек, подключенных к сети интернет в общем количестве библиотек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87,5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87,5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858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12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1.6.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7720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7725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7730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7848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7850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7860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7952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7860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7860</w:t>
            </w:r>
          </w:p>
        </w:tc>
        <w:tc>
          <w:tcPr>
            <w:tcW w:w="858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7860</w:t>
            </w:r>
          </w:p>
        </w:tc>
        <w:tc>
          <w:tcPr>
            <w:tcW w:w="112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7860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7860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1.7.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объема электронного каталога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1,8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1,9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1,9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2,1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2,2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2,2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2,2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2,3</w:t>
            </w:r>
          </w:p>
        </w:tc>
        <w:tc>
          <w:tcPr>
            <w:tcW w:w="858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2,4</w:t>
            </w:r>
          </w:p>
        </w:tc>
        <w:tc>
          <w:tcPr>
            <w:tcW w:w="112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2,5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2,7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1.8.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поступлений новой литературы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2600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1.9.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книжного фонда</w:t>
            </w:r>
          </w:p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экз</w:t>
            </w:r>
            <w:proofErr w:type="spellEnd"/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122205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122205</w:t>
            </w:r>
          </w:p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122205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109200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110000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108000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105526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107000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107000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107000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107000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107000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Задача 2. Обеспечение доступа населения Северо-Енисейского района к культурным благам и участию в культурной жизни</w:t>
            </w:r>
          </w:p>
          <w:p w:rsidR="00E05F7E" w:rsidRPr="00E05F7E" w:rsidRDefault="00E05F7E" w:rsidP="00E05F7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 2 поддержка искусства и народного творчества</w:t>
            </w:r>
          </w:p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новых постановок народного театра "Самородок"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посетителей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1250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1250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856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1360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1380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2.3.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посетителей </w:t>
            </w:r>
            <w:proofErr w:type="spellStart"/>
            <w:r w:rsidRPr="00E05F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E05F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63398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68200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69000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69030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69050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69050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73808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69050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69050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69080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69100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69100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2.4.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концертов, концертных программ, выставок и иных зрелищных мероприятий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1085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2.5.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сеансов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193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2.6.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посетителей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2348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1623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2900</w:t>
            </w:r>
          </w:p>
        </w:tc>
        <w:tc>
          <w:tcPr>
            <w:tcW w:w="850" w:type="dxa"/>
          </w:tcPr>
          <w:p w:rsidR="00E05F7E" w:rsidRPr="00E05F7E" w:rsidRDefault="008F1E9C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5380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2900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2.7.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клубных формирований </w:t>
            </w:r>
            <w:proofErr w:type="spell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850" w:type="dxa"/>
          </w:tcPr>
          <w:p w:rsidR="00E05F7E" w:rsidRPr="00E05F7E" w:rsidRDefault="008F1E9C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82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2.8.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807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1135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1338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1340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1104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1110</w:t>
            </w:r>
          </w:p>
        </w:tc>
        <w:tc>
          <w:tcPr>
            <w:tcW w:w="850" w:type="dxa"/>
          </w:tcPr>
          <w:p w:rsidR="00E05F7E" w:rsidRPr="00E05F7E" w:rsidRDefault="008F1E9C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1167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1110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2.9.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систематически обучающихся учащихся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0" w:type="dxa"/>
          </w:tcPr>
          <w:p w:rsidR="00E05F7E" w:rsidRPr="00E05F7E" w:rsidRDefault="008F1E9C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2.10.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выпускников на конец учебного года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0" w:type="dxa"/>
          </w:tcPr>
          <w:p w:rsidR="00E05F7E" w:rsidRPr="00E05F7E" w:rsidRDefault="008F1E9C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Задача 3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Подпрограмма 3 </w:t>
            </w:r>
            <w:r w:rsidRPr="00E05F7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«Обеспечение содержания (эксплуатации) имущества муниципальных учреждений Северо-Енисейского района»</w:t>
            </w:r>
          </w:p>
        </w:tc>
      </w:tr>
      <w:tr w:rsidR="00E05F7E" w:rsidRPr="00E05F7E" w:rsidTr="00E05F7E"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2995" w:type="dxa"/>
          </w:tcPr>
          <w:p w:rsidR="00E05F7E" w:rsidRPr="00E05F7E" w:rsidRDefault="00E05F7E" w:rsidP="00E05F7E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Обеспечение эксплуатационно-технического обслуживания объектов и помещений, а так же содержание указанных объектов, помещений и </w:t>
            </w:r>
            <w:r w:rsidRPr="00E05F7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lastRenderedPageBreak/>
              <w:t>прилегающей территории в надлежащем состоянии</w:t>
            </w:r>
          </w:p>
          <w:p w:rsidR="00E05F7E" w:rsidRPr="00E05F7E" w:rsidRDefault="00E05F7E" w:rsidP="00E05F7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кв</w:t>
            </w:r>
            <w:proofErr w:type="gramStart"/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.м</w:t>
            </w:r>
            <w:proofErr w:type="gramEnd"/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19 444,8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22586,8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22586,8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22646,3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22646,3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22646,3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22646,3</w:t>
            </w:r>
          </w:p>
        </w:tc>
        <w:tc>
          <w:tcPr>
            <w:tcW w:w="1559" w:type="dxa"/>
            <w:gridSpan w:val="3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22646,3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523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</w:t>
            </w: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Задача 4 С</w:t>
            </w:r>
            <w:r w:rsidRPr="00E05F7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оздание условий для устойчивого развития отрасли «культура» в Северо-Енисейском районе</w:t>
            </w:r>
          </w:p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05F7E" w:rsidRPr="00E05F7E" w:rsidTr="00E05F7E">
        <w:trPr>
          <w:gridAfter w:val="2"/>
          <w:wAfter w:w="36" w:type="dxa"/>
        </w:trPr>
        <w:tc>
          <w:tcPr>
            <w:tcW w:w="16088" w:type="dxa"/>
            <w:gridSpan w:val="17"/>
          </w:tcPr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4.Подпрограмма 4 «Обеспечение реализации муниципальной программы»</w:t>
            </w:r>
          </w:p>
          <w:p w:rsidR="00E05F7E" w:rsidRPr="00E05F7E" w:rsidRDefault="00E05F7E" w:rsidP="00E05F7E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5F7E" w:rsidRPr="00E05F7E" w:rsidTr="00E05F7E">
        <w:trPr>
          <w:gridAfter w:val="1"/>
          <w:wAfter w:w="21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Исполнение сроков предоставления форм бюджетной отчетности по всем подведомственным учреждениям в вышестоящие организации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38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E05F7E" w:rsidRPr="00E05F7E" w:rsidTr="00E05F7E">
        <w:trPr>
          <w:gridAfter w:val="1"/>
          <w:wAfter w:w="21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4.2.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соблюдение сроков предоставления отчетности 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38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E05F7E" w:rsidRPr="00E05F7E" w:rsidTr="00E05F7E">
        <w:trPr>
          <w:gridAfter w:val="1"/>
          <w:wAfter w:w="21" w:type="dxa"/>
        </w:trPr>
        <w:tc>
          <w:tcPr>
            <w:tcW w:w="629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4.3.</w:t>
            </w:r>
          </w:p>
        </w:tc>
        <w:tc>
          <w:tcPr>
            <w:tcW w:w="2995" w:type="dxa"/>
            <w:vAlign w:val="center"/>
          </w:tcPr>
          <w:p w:rsidR="00E05F7E" w:rsidRPr="00E05F7E" w:rsidRDefault="00E05F7E" w:rsidP="00E05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F7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Исполнение расходных обязательств к общему объему утвержденных бюджетных ассигнований на очередной финансовый год.</w:t>
            </w:r>
          </w:p>
        </w:tc>
        <w:tc>
          <w:tcPr>
            <w:tcW w:w="1357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95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134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38" w:type="dxa"/>
            <w:gridSpan w:val="2"/>
          </w:tcPr>
          <w:p w:rsidR="00E05F7E" w:rsidRPr="00E05F7E" w:rsidRDefault="00E05F7E" w:rsidP="00E05F7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5F7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</w:tbl>
    <w:p w:rsidR="00E05F7E" w:rsidRDefault="00E05F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E05F7E" w:rsidRPr="006E1C0E" w:rsidRDefault="00E05F7E" w:rsidP="00E05F7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Pr="006E1C0E">
        <w:rPr>
          <w:rFonts w:ascii="Times New Roman" w:hAnsi="Times New Roman"/>
          <w:sz w:val="20"/>
          <w:szCs w:val="20"/>
        </w:rPr>
        <w:t xml:space="preserve">риложение № </w:t>
      </w:r>
      <w:r w:rsidR="008F1E9C">
        <w:rPr>
          <w:rFonts w:ascii="Times New Roman" w:hAnsi="Times New Roman"/>
          <w:sz w:val="20"/>
          <w:szCs w:val="20"/>
        </w:rPr>
        <w:t>2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05F7E" w:rsidRPr="002D5EED" w:rsidRDefault="00F01A2F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91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05F7E" w:rsidRDefault="00E05F7E">
      <w:pPr>
        <w:rPr>
          <w:rFonts w:ascii="Times New Roman" w:hAnsi="Times New Roman"/>
          <w:sz w:val="20"/>
          <w:szCs w:val="20"/>
        </w:rPr>
      </w:pP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617E48" w:rsidRPr="00617E48" w:rsidTr="00617E48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№</w:t>
            </w:r>
            <w:proofErr w:type="spellStart"/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главного распорядителя бюджетных средств (дале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е-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Муниципальная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программ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145 819 109,00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AF4886" w:rsidRDefault="00ED1639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435 368 386,00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F44B67" w:rsidRDefault="009E782D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145 118 711,00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F44B67" w:rsidRDefault="009E782D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434 667 988,00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  <w:r w:rsidR="009E782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0 398,00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70</w:t>
            </w:r>
            <w:r w:rsidR="009E782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0 398,00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30 166 897,00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89 022 124,00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29 716  897,00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88 572 124,00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450 000</w:t>
            </w:r>
            <w:r w:rsidR="009E782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64 455 966,00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195 445 720,00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64 455 966,00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195 445 720,00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31 295 946,00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91 700 438,00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31 295 946,00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91 700 438,00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19 900 300,00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59 200 104,00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58 949 706,00</w:t>
            </w:r>
          </w:p>
        </w:tc>
      </w:tr>
      <w:tr w:rsidR="00617E48" w:rsidRPr="00617E48" w:rsidTr="00617E48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13E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250 398,00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413E4C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413E4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250 398,00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8F1E9C">
        <w:rPr>
          <w:rFonts w:ascii="Times New Roman" w:hAnsi="Times New Roman"/>
          <w:sz w:val="20"/>
          <w:szCs w:val="20"/>
        </w:rPr>
        <w:t>3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2D5EED" w:rsidRDefault="00F01A2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91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4A2B6F" w:rsidRPr="00424F83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9820BD" w:rsidRDefault="004A2B6F" w:rsidP="004A2B6F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A2B6F" w:rsidRPr="00424F83" w:rsidRDefault="004A2B6F" w:rsidP="004A2B6F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617E48" w:rsidRPr="00617E48" w:rsidTr="00617E4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145 819 109,00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142 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252,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780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025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AF4886" w:rsidRDefault="00ED1639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435 368 386,00</w:t>
            </w:r>
          </w:p>
        </w:tc>
      </w:tr>
      <w:tr w:rsidR="00617E48" w:rsidRPr="00617E48" w:rsidTr="00617E48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067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610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617E48" w:rsidRPr="00617E48" w:rsidTr="00617E48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ED1639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143 351 709,00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576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141 969 609,00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427 288 894,00</w:t>
            </w:r>
          </w:p>
        </w:tc>
      </w:tr>
      <w:tr w:rsidR="00617E48" w:rsidRPr="00617E48" w:rsidTr="00617E48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73820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30 166 897,00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29 428 630,00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89 022 124,00</w:t>
            </w:r>
          </w:p>
        </w:tc>
      </w:tr>
      <w:tr w:rsidR="00617E48" w:rsidRPr="00617E48" w:rsidTr="00617E48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402 700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627 5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617E48" w:rsidRPr="00617E48" w:rsidTr="00617E4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ED1639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29 764 197,00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29 316 230,00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88 394 624,00</w:t>
            </w:r>
          </w:p>
        </w:tc>
      </w:tr>
      <w:tr w:rsidR="00617E48" w:rsidRPr="00617E48" w:rsidTr="00617E48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0E5EF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64 455 966,00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2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195 445 720,00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72 319,26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1 246 426,62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1 889 745,88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413E4C" w:rsidP="000E5EF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63 484 966,00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0E5EF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189 087 428,00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1 200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31 295 946,00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91 700 438,00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1 093 700,00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90 606 738,00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19 900 300,00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59 200 104,00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19 900 300,00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59 200 104,00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</w:tbl>
    <w:p w:rsidR="00081659" w:rsidRDefault="00081659" w:rsidP="00D8037F">
      <w:pPr>
        <w:tabs>
          <w:tab w:val="left" w:pos="5115"/>
        </w:tabs>
        <w:rPr>
          <w:rFonts w:ascii="Times New Roman" w:hAnsi="Times New Roman"/>
          <w:sz w:val="20"/>
          <w:szCs w:val="20"/>
        </w:rPr>
      </w:pPr>
      <w:r w:rsidRPr="00081659">
        <w:rPr>
          <w:rFonts w:ascii="Times New Roman" w:hAnsi="Times New Roman"/>
          <w:sz w:val="20"/>
          <w:szCs w:val="20"/>
        </w:rPr>
        <w:br w:type="page"/>
      </w:r>
    </w:p>
    <w:p w:rsidR="00B077FC" w:rsidRPr="00684C28" w:rsidRDefault="00B077FC" w:rsidP="00B077FC">
      <w:pPr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8F1E9C">
        <w:rPr>
          <w:rFonts w:ascii="Times New Roman" w:hAnsi="Times New Roman"/>
          <w:sz w:val="20"/>
          <w:szCs w:val="20"/>
        </w:rPr>
        <w:t>4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B077FC" w:rsidRPr="00684C28" w:rsidRDefault="00F01A2F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91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B077FC" w:rsidRDefault="00B077FC" w:rsidP="00B077FC">
      <w:pPr>
        <w:tabs>
          <w:tab w:val="left" w:pos="13594"/>
        </w:tabs>
        <w:spacing w:after="120"/>
        <w:jc w:val="center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B077FC">
        <w:rPr>
          <w:rFonts w:ascii="Times New Roman" w:eastAsia="Times New Roman" w:hAnsi="Times New Roman"/>
          <w:sz w:val="20"/>
          <w:szCs w:val="20"/>
          <w:lang w:eastAsia="ar-SA"/>
        </w:rPr>
        <w:t>Перечень мероприятий подпрограммы 1 с указанием объема средств на их реализацию и ожидаемых результатов</w:t>
      </w:r>
    </w:p>
    <w:p w:rsidR="00B077FC" w:rsidRDefault="00B077FC" w:rsidP="00B077FC">
      <w:pPr>
        <w:tabs>
          <w:tab w:val="left" w:pos="13594"/>
        </w:tabs>
        <w:spacing w:after="120"/>
        <w:jc w:val="center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556"/>
        <w:gridCol w:w="1562"/>
        <w:gridCol w:w="2066"/>
      </w:tblGrid>
      <w:tr w:rsidR="00B077FC" w:rsidRPr="00B077FC" w:rsidTr="00B077FC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ind w:right="-3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B077FC" w:rsidRPr="00B077FC" w:rsidRDefault="00B077FC" w:rsidP="00B077FC">
            <w:pPr>
              <w:suppressAutoHyphens/>
              <w:ind w:right="-36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077FC" w:rsidRPr="00B077FC" w:rsidTr="00B077FC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4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4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3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2020-2022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077FC" w:rsidRPr="00B077FC" w:rsidTr="00B077FC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ED1639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30 166 897,00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29 426 597,00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ED1639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89 022 124,00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ind w:left="34" w:right="-109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23 470 609,00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23 235 609,00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ind w:left="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23 237 642,00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ind w:left="55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69 943 860,00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numPr>
                <w:ilvl w:val="1"/>
                <w:numId w:val="6"/>
              </w:numPr>
              <w:suppressAutoHyphens/>
              <w:ind w:lef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циклов мероприятий 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характера</w:t>
            </w:r>
          </w:p>
          <w:p w:rsidR="00B077FC" w:rsidRPr="00B077FC" w:rsidRDefault="00B077FC" w:rsidP="00B077FC">
            <w:pPr>
              <w:suppressAutoHyphens/>
              <w:ind w:left="60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218 390,00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218 390,00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218 390,00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655 170,00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B077FC" w:rsidRPr="00B077FC" w:rsidTr="00B077FC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1 800 000,00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B077FC" w:rsidRPr="00B077FC" w:rsidTr="00B077FC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760 500,00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760 500,00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762 533,00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2 283 533,00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1 680 912,00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67 500,00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67 500,00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202 500,00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  <w:r w:rsidRPr="00B077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 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0810010480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235 000,00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1.6.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112 4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112 400,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112 400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1.7. 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Софинансирование</w:t>
            </w:r>
            <w:proofErr w:type="spell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08100S4880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112 401,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B077FC" w:rsidRPr="00B077FC" w:rsidTr="00B077FC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20 879 048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20 879 048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20 879 048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62 637 144.00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муниципального бюджетного учреждения 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«Централизованная библиотечная система», в том числе содержание сотрудников в количестве 17,75 штатных единиц, улучшение материально-технической базы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1.8.1.Оплата труда и начисления на оплату труда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17 214 586.00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17 214 586.00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17 214 586.00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51 643 758.00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1.8.2.Иные выплаты персоналу учреждений, за исключением фонда оплаты труда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5 400.00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492 000.00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492 000.00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492 000.00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1 476 000.00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140 260,00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140 260,00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382 884.00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209 340.00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4 881 096.00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1.8.8. Работы, услуги по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717 000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1.8.9.Прочие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206 560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206 560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206 560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619 680.00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1.8.10.Увеличение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1 139 376.00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1.8.11.Увеличение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380 610,00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380 610,00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380 610,00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1 141 830,00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ED163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6 288,00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6 190 988,00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6 190 988,00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ED1639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19 078 264,00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  <w:r w:rsidRPr="00B077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0810010480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55 300,00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55 300,00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146 210.00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146 210.00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146 210.00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438 630.00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B077FC" w:rsidRPr="00B077FC" w:rsidTr="00B077FC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 Проведение цикла просветительских программ для детей дошкольного и младшего школьного возраста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810082370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354 480.00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ind w:firstLine="3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Обучение не менее 300 детей дошкольного и младшего школьного возраста.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2.4. Обеспечение деятельности (оказание услуг) муниципальным бюджетным учреждением «Муниципальный музей истории золотодобычи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5 926 618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5 926 618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5 926 618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17 779 854.00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Муниципального бюджетного учреждения «Муниципальный музей истории золотодобычи 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Северо-Енисейского района», в том числе содержание 4 штатных единиц сотрудников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4 049 590.00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4 049 590.00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4 049 590.00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12 148 770.00</w:t>
            </w:r>
          </w:p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2.5.2.Иные выплаты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2.5.3.Гарантии и компенсации для лиц, работающих в Северо-Енисейском районе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150 000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150 000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150 000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450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100 500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100 500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100 500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301 500.00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2.5.5.Услуги связи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119 040.00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119 040.00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119 040.00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357 120.00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2.5.6.Транспортные услуги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2.5.7.Коммунальные услуги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2 070 354.00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933 180.00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2.5.8.Прочие расходы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346 500.00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432 000.00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Улучшение материально-технической базы</w:t>
            </w:r>
          </w:p>
        </w:tc>
      </w:tr>
      <w:tr w:rsidR="00B077FC" w:rsidRPr="00B077FC" w:rsidTr="00ED1639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2.5.10.Увеличение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190 910.00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190 910.00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190 910.00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572 730.00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D1639" w:rsidRPr="00B077FC" w:rsidTr="00ED1639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2.6 </w:t>
            </w:r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по подготовке проектов капитальных ремонтов объектов муниципальной собственности </w:t>
            </w:r>
            <w:proofErr w:type="gramStart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B077FC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08 01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639" w:rsidRP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ED1639" w:rsidRPr="00B077FC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D1639" w:rsidRPr="00B077FC" w:rsidTr="00B077FC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2.7 </w:t>
            </w:r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проверку </w:t>
            </w:r>
            <w:proofErr w:type="gramStart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300 000,00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1639" w:rsidRPr="00B077FC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077FC" w:rsidRDefault="00B077F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76A1D" w:rsidRPr="00684C28" w:rsidRDefault="00D76A1D" w:rsidP="00870922">
      <w:pPr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8F1E9C">
        <w:rPr>
          <w:rFonts w:ascii="Times New Roman" w:hAnsi="Times New Roman"/>
          <w:sz w:val="20"/>
          <w:szCs w:val="20"/>
        </w:rPr>
        <w:t>5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64FFB" w:rsidRPr="00684C28" w:rsidRDefault="00F01A2F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91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C64FFB" w:rsidRDefault="00C64FFB" w:rsidP="00C64FF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4FFB" w:rsidRPr="00225827" w:rsidRDefault="00C64FFB" w:rsidP="00C64FFB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C64FFB" w:rsidRDefault="00C64FFB" w:rsidP="00C64FFB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DA7546" w:rsidRPr="00DA7546" w:rsidTr="00DA7546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A7546" w:rsidRPr="00DA7546" w:rsidTr="00DA7546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2022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Цель подпрограммы 2: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B750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64 455 966,00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499 247,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B7505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195 445 720,00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1: Организация деятельности клубных формирований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896 035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 Гастрольная деятельность народного театра "Самородок", кукольных театров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Чударики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»,  «Зазеркалье»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692 124,00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Показ не менее 4 новых постановок ежегодно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1.2 Развитие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народных художественных промыслов и ремесел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082008420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277 911,00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Участие в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выездных выставках-ярмарках не менее 1 раза в год. Организация выставок–ярмарок не менее 3 раз в год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2: Сохранение и развитие традиционной народной культуры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B750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53  049 443,00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B7505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162 364 445,00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439 500,00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306 000,00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</w:tc>
      </w:tr>
      <w:tr w:rsidR="00DA7546" w:rsidRPr="00DA7546" w:rsidTr="00DA7546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2.3. Проведение районного фестиваля «Хлебосольный край» к празднованию Дня металлурга в Северо-Енисейском районе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 не менее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 человек участников мероприятий не менее 400 человек зрителей</w:t>
            </w:r>
          </w:p>
        </w:tc>
      </w:tr>
      <w:tr w:rsidR="00DA7546" w:rsidRPr="00DA7546" w:rsidTr="00DA7546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2.4. Проведение районного народного гуляния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Вельминская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подледка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649 500,00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2.5. Проведение межнационального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этно-туристического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фестиваля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СЭВЭКИ-Легенды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Севера»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2.6. Проведение цикла мероприятий, посвящённых народным гуляньям «Масленица»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116 100,00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2.7.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2.8. Проведение районной акции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Североенисейцы-Защитникам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Отечества» в рамках празднования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1 501 650,00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2.9. Проведение мероприятий посвященных празднованию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773 112,00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773 112,00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658 515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79790F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2 204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739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2.10.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97 350,00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2.11. Проведение мероприятий посвященных Дню памяти и скорби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150 участников мероприятий</w:t>
            </w:r>
          </w:p>
        </w:tc>
      </w:tr>
      <w:tr w:rsidR="00DA7546" w:rsidRPr="00DA7546" w:rsidTr="00DA7546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2.12.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318 000,00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EB02A5" w:rsidRPr="00DA7546" w:rsidTr="00F5310E">
        <w:trPr>
          <w:trHeight w:val="10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D038FD" w:rsidRDefault="00EB02A5" w:rsidP="00F5310E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38F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2.13.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расходов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8B7EB8" w:rsidRPr="00DA7546" w:rsidTr="000816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края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«Обеспечение реализации государственной программы и прочие мероприятия» государственной программы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Красноярского края «Развитие культуры и туризма»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R4670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304 517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5 062 613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Pr="00DA7546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укрепления материально-технической базы муниципальных домов культуры в населенных пунктах с числом жителей до 50 тысяч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</w:p>
          <w:p w:rsidR="008B7EB8" w:rsidRPr="008B7EB8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улучшение качества предоставляемых услуг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8B7EB8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8B7EB8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48 491 578,00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48 31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602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182683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843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B7505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144 790 023,00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39 477 918,00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118 829 754,00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бюджетного учреждения «Централизованная клубная система», в том числе содержание сотрудников в количестве 46 штатных единиц, улучшение материально-технической базы.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1 341 000,00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726 750,00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Отдел культу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1 290 600,00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15 508 515,00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2 430 000,00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698 107,00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1 602 107,00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506 818,00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395 190,00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245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190,00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B26BDA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1 147 198,00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773820">
        <w:trPr>
          <w:trHeight w:val="1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435 280,00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35 280,00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1 200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 3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10 157 178,00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29 985 240,00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152 400,00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Проведение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внутришкольных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районных мероприятий, смотров и отчетных концертов</w:t>
            </w:r>
          </w:p>
        </w:tc>
      </w:tr>
      <w:tr w:rsidR="00EB02A5" w:rsidRPr="00DA7546" w:rsidTr="00EB02A5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BC21F6" w:rsidRDefault="00EB02A5" w:rsidP="00F5310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03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уровня 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среднемесячной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заработной платы педагогических работников дополнительного образования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не ниже 65 758,1 рублей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10 061 231,00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29 787 693,00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Ежегодное обучение не менее 60 человек учащихся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8 312 566,00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24 541 698,00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деятельности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муниципального бюджетного учрежде</w:t>
            </w:r>
            <w:r w:rsidR="00D8037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ния дополнительного образования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«Северо-Енисейская детская школа искусств, в том</w:t>
            </w:r>
            <w:r w:rsidR="00D8037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числе содержание сотрудников </w:t>
            </w:r>
            <w:proofErr w:type="gramStart"/>
            <w:r w:rsidR="00D8037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количестве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15 штатных единиц, улучшение материально-технической базы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.4.Расходы, связанные со служебными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342 000,00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3.2.5.Услуги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328 200,00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87 340,00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237 340,00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2 059 926,00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773820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483 000,00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  <w:p w:rsidR="00DA7546" w:rsidRPr="00DA7546" w:rsidRDefault="00DA7546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549 000,00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</w:t>
            </w: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153 283,00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484 529,00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081659" w:rsidRDefault="0008165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684C2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Приложение №</w:t>
      </w:r>
      <w:r w:rsidR="008F1E9C">
        <w:rPr>
          <w:rFonts w:ascii="Times New Roman" w:hAnsi="Times New Roman"/>
          <w:sz w:val="20"/>
          <w:szCs w:val="20"/>
        </w:rPr>
        <w:t>6</w:t>
      </w:r>
    </w:p>
    <w:p w:rsidR="00081659" w:rsidRPr="00684C2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081659" w:rsidRPr="00684C2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081659" w:rsidRPr="00684C28" w:rsidRDefault="00F01A2F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91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081659" w:rsidRPr="00684C2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081659" w:rsidRDefault="00081659" w:rsidP="00081659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="00D8037F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081659" w:rsidRPr="008F5108" w:rsidRDefault="00081659" w:rsidP="00081659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="00D8037F">
        <w:rPr>
          <w:rFonts w:ascii="Times New Roman" w:hAnsi="Times New Roman"/>
          <w:sz w:val="20"/>
          <w:szCs w:val="20"/>
          <w:lang w:eastAsia="ar-SA"/>
        </w:rPr>
        <w:t>»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5B03BE" w:rsidRPr="005B03BE" w:rsidRDefault="005B03BE" w:rsidP="005B03BE">
      <w:pPr>
        <w:jc w:val="center"/>
        <w:rPr>
          <w:rFonts w:ascii="Times New Roman" w:hAnsi="Times New Roman"/>
        </w:rPr>
      </w:pPr>
      <w:r w:rsidRPr="005B03BE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5B03BE" w:rsidRPr="005B03BE" w:rsidTr="008C6405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B03BE" w:rsidRPr="005B03BE" w:rsidTr="008C6405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5B03BE" w:rsidRPr="005B03BE" w:rsidTr="008C6405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Цель подпрограммы 4: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19 900 300,00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59 200 104,00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Задача: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</w:t>
            </w: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оздание условий для устойчивого развития отрасли «культура» в Северо-Енисейском районе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ind w:right="-108"/>
              <w:jc w:val="both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5B03BE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ar-SA"/>
              </w:rPr>
              <w:t>4454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ind w:left="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1.1.Обеспечение деятельности Отдела культуры администрации Северо-Енисейского района", в том числе: </w:t>
            </w:r>
          </w:p>
          <w:p w:rsidR="005B03BE" w:rsidRPr="005B03BE" w:rsidRDefault="005B03BE" w:rsidP="005B03BE">
            <w:pPr>
              <w:suppressAutoHyphens/>
              <w:ind w:left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19 900 300,00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59 200 104,00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Отдела культуры 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администрации </w:t>
            </w:r>
            <w:proofErr w:type="gram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района, в том числе содержание сотрудников в количестве 14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штатных единиц, улучшение материально-технической базы</w:t>
            </w:r>
          </w:p>
        </w:tc>
      </w:tr>
      <w:tr w:rsidR="005B03BE" w:rsidRPr="005B03BE" w:rsidTr="008C6405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10 801 559,00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10 801 559,00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10 801 559,00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32 404 677,00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3 262 071,00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3 262 071,00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3 262 071,00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9 786 213,00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1.1.2.Иные выплаты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1 320 000,00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115 800,00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115 800,00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115 800,00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347 400,00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1 170 000,00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570 000,00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5 995 821,00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1.1.8.Работы,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2 715 120,00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1.1.9.Прочие расходы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2 885 400,00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1.1.10.Увеличение стоимости основных средств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495 500,00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1.1.11.Увеличение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1 225 875,00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B26BD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1.1.12.Расходы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26BDA" w:rsidRPr="005B03BE" w:rsidTr="00B26BD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DA" w:rsidRPr="005B03BE" w:rsidRDefault="00B26BDA" w:rsidP="008806D5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</w:t>
            </w:r>
            <w:r>
              <w:t xml:space="preserve">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Содержание муниципального имущества 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замен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светильников в помещениях офисного здания, ул. Фабричная, 3, </w:t>
            </w:r>
            <w:proofErr w:type="spell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8806D5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0830080549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153 178,80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153 178,80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26BDA" w:rsidRPr="005B03BE" w:rsidTr="008C640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DA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DA" w:rsidRDefault="00B26BDA" w:rsidP="008806D5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</w:t>
            </w:r>
            <w:r>
              <w:t xml:space="preserve">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Содержание муниципального имущества 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установк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запорной арматуры на радиаторы в помещениях офисного здания, ул. Фабричная, 3, </w:t>
            </w:r>
            <w:proofErr w:type="spell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8806D5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0830080550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244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B26BD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97 219,20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97 219,20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C64FFB" w:rsidRDefault="00C64FFB">
      <w:pPr>
        <w:rPr>
          <w:rFonts w:ascii="Times New Roman" w:hAnsi="Times New Roman"/>
          <w:sz w:val="20"/>
          <w:szCs w:val="20"/>
        </w:rPr>
      </w:pPr>
    </w:p>
    <w:sectPr w:rsidR="00C64FFB" w:rsidSect="00E5224B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9FF" w:rsidRDefault="008A79FF">
      <w:r>
        <w:separator/>
      </w:r>
    </w:p>
  </w:endnote>
  <w:endnote w:type="continuationSeparator" w:id="0">
    <w:p w:rsidR="008A79FF" w:rsidRDefault="008A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72FE11E0-2A22-45EA-B909-5BE73171A6BD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9FF" w:rsidRDefault="008A79FF">
      <w:r>
        <w:separator/>
      </w:r>
    </w:p>
  </w:footnote>
  <w:footnote w:type="continuationSeparator" w:id="0">
    <w:p w:rsidR="008A79FF" w:rsidRDefault="008A7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CB0" w:rsidRDefault="00826FB5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87CB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7CB0" w:rsidRDefault="00F87CB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42A6"/>
    <w:rsid w:val="00036834"/>
    <w:rsid w:val="000375AA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781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1659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4C4D"/>
    <w:rsid w:val="000950EB"/>
    <w:rsid w:val="00095362"/>
    <w:rsid w:val="00095B50"/>
    <w:rsid w:val="0009696B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4A18"/>
    <w:rsid w:val="000B4E6C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784"/>
    <w:rsid w:val="000E5C16"/>
    <w:rsid w:val="000E5EF8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0E6B"/>
    <w:rsid w:val="001010B1"/>
    <w:rsid w:val="00101226"/>
    <w:rsid w:val="0010298B"/>
    <w:rsid w:val="00102E55"/>
    <w:rsid w:val="00104035"/>
    <w:rsid w:val="00104824"/>
    <w:rsid w:val="00105E08"/>
    <w:rsid w:val="00106250"/>
    <w:rsid w:val="001067C8"/>
    <w:rsid w:val="00106D5A"/>
    <w:rsid w:val="00107163"/>
    <w:rsid w:val="00110B8D"/>
    <w:rsid w:val="00112DD6"/>
    <w:rsid w:val="0011400E"/>
    <w:rsid w:val="0011471A"/>
    <w:rsid w:val="00114AB3"/>
    <w:rsid w:val="00115119"/>
    <w:rsid w:val="00116390"/>
    <w:rsid w:val="00117BCF"/>
    <w:rsid w:val="00117E02"/>
    <w:rsid w:val="00120405"/>
    <w:rsid w:val="00120930"/>
    <w:rsid w:val="001215B5"/>
    <w:rsid w:val="001238F3"/>
    <w:rsid w:val="001245D2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5FDF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2683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4D16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0532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182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1A51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5AC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2471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2C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34969"/>
    <w:rsid w:val="003416C2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1141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7B7"/>
    <w:rsid w:val="003C0CA2"/>
    <w:rsid w:val="003C1008"/>
    <w:rsid w:val="003C23EA"/>
    <w:rsid w:val="003C4A97"/>
    <w:rsid w:val="003C55DF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5530"/>
    <w:rsid w:val="003D6600"/>
    <w:rsid w:val="003E322E"/>
    <w:rsid w:val="003E351A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3E4C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640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616"/>
    <w:rsid w:val="004949F4"/>
    <w:rsid w:val="00494BC5"/>
    <w:rsid w:val="00495830"/>
    <w:rsid w:val="00495A52"/>
    <w:rsid w:val="00495CD7"/>
    <w:rsid w:val="004970F9"/>
    <w:rsid w:val="004A2595"/>
    <w:rsid w:val="004A27B2"/>
    <w:rsid w:val="004A280C"/>
    <w:rsid w:val="004A295C"/>
    <w:rsid w:val="004A2B46"/>
    <w:rsid w:val="004A2B6F"/>
    <w:rsid w:val="004A3677"/>
    <w:rsid w:val="004A3ACF"/>
    <w:rsid w:val="004A3BEB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132B"/>
    <w:rsid w:val="0050201F"/>
    <w:rsid w:val="005039A6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2CB7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3BE"/>
    <w:rsid w:val="005B0DAE"/>
    <w:rsid w:val="005B223B"/>
    <w:rsid w:val="005B384B"/>
    <w:rsid w:val="005B3C5C"/>
    <w:rsid w:val="005B4267"/>
    <w:rsid w:val="005B482F"/>
    <w:rsid w:val="005C0336"/>
    <w:rsid w:val="005C0346"/>
    <w:rsid w:val="005C0AAF"/>
    <w:rsid w:val="005C127C"/>
    <w:rsid w:val="005C16F0"/>
    <w:rsid w:val="005C286F"/>
    <w:rsid w:val="005C3197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7C9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17E48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163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1468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4EFF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3594"/>
    <w:rsid w:val="006C4A62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5131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32A6"/>
    <w:rsid w:val="00773820"/>
    <w:rsid w:val="00774069"/>
    <w:rsid w:val="007741A8"/>
    <w:rsid w:val="00774F7B"/>
    <w:rsid w:val="0077508B"/>
    <w:rsid w:val="00777903"/>
    <w:rsid w:val="00777F93"/>
    <w:rsid w:val="00780CB6"/>
    <w:rsid w:val="00780D5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9790F"/>
    <w:rsid w:val="007A044D"/>
    <w:rsid w:val="007A12A0"/>
    <w:rsid w:val="007A1AB7"/>
    <w:rsid w:val="007A1D5C"/>
    <w:rsid w:val="007A2D71"/>
    <w:rsid w:val="007A37BD"/>
    <w:rsid w:val="007A42B6"/>
    <w:rsid w:val="007A432B"/>
    <w:rsid w:val="007A43FF"/>
    <w:rsid w:val="007A52AB"/>
    <w:rsid w:val="007A559F"/>
    <w:rsid w:val="007A742E"/>
    <w:rsid w:val="007A7E7A"/>
    <w:rsid w:val="007B0EF7"/>
    <w:rsid w:val="007B25E0"/>
    <w:rsid w:val="007B33B1"/>
    <w:rsid w:val="007B39FC"/>
    <w:rsid w:val="007B42E9"/>
    <w:rsid w:val="007B4781"/>
    <w:rsid w:val="007B57AD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B3B"/>
    <w:rsid w:val="007D1EE7"/>
    <w:rsid w:val="007D1F81"/>
    <w:rsid w:val="007D2DA8"/>
    <w:rsid w:val="007D3326"/>
    <w:rsid w:val="007D62DA"/>
    <w:rsid w:val="007D7056"/>
    <w:rsid w:val="007D7BB4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2816"/>
    <w:rsid w:val="007F3650"/>
    <w:rsid w:val="007F4254"/>
    <w:rsid w:val="007F5EED"/>
    <w:rsid w:val="007F6AA8"/>
    <w:rsid w:val="00801418"/>
    <w:rsid w:val="008016E0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81B"/>
    <w:rsid w:val="00821B40"/>
    <w:rsid w:val="0082222F"/>
    <w:rsid w:val="00823354"/>
    <w:rsid w:val="00823955"/>
    <w:rsid w:val="00824566"/>
    <w:rsid w:val="008247B8"/>
    <w:rsid w:val="008252DA"/>
    <w:rsid w:val="00826618"/>
    <w:rsid w:val="00826FB5"/>
    <w:rsid w:val="008272E2"/>
    <w:rsid w:val="00830A5D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2902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922"/>
    <w:rsid w:val="00870AAF"/>
    <w:rsid w:val="0087234F"/>
    <w:rsid w:val="008725A9"/>
    <w:rsid w:val="00872CB7"/>
    <w:rsid w:val="00873713"/>
    <w:rsid w:val="00874256"/>
    <w:rsid w:val="00874AD0"/>
    <w:rsid w:val="00874F2B"/>
    <w:rsid w:val="00877D74"/>
    <w:rsid w:val="008806D5"/>
    <w:rsid w:val="0088147E"/>
    <w:rsid w:val="008835C5"/>
    <w:rsid w:val="00884FD7"/>
    <w:rsid w:val="008857AC"/>
    <w:rsid w:val="00886A1E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6455"/>
    <w:rsid w:val="008A7297"/>
    <w:rsid w:val="008A79FF"/>
    <w:rsid w:val="008B0002"/>
    <w:rsid w:val="008B0769"/>
    <w:rsid w:val="008B1DC1"/>
    <w:rsid w:val="008B3E33"/>
    <w:rsid w:val="008B5129"/>
    <w:rsid w:val="008B536F"/>
    <w:rsid w:val="008B7258"/>
    <w:rsid w:val="008B77F1"/>
    <w:rsid w:val="008B7B38"/>
    <w:rsid w:val="008B7CBA"/>
    <w:rsid w:val="008B7EB8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6BA"/>
    <w:rsid w:val="008C4776"/>
    <w:rsid w:val="008C4D81"/>
    <w:rsid w:val="008C56E0"/>
    <w:rsid w:val="008C6174"/>
    <w:rsid w:val="008C6405"/>
    <w:rsid w:val="008D0A72"/>
    <w:rsid w:val="008D0C95"/>
    <w:rsid w:val="008D1143"/>
    <w:rsid w:val="008D2115"/>
    <w:rsid w:val="008D2D22"/>
    <w:rsid w:val="008D3360"/>
    <w:rsid w:val="008D3C48"/>
    <w:rsid w:val="008D40B6"/>
    <w:rsid w:val="008D4F87"/>
    <w:rsid w:val="008D565B"/>
    <w:rsid w:val="008D7C76"/>
    <w:rsid w:val="008E0DDB"/>
    <w:rsid w:val="008E240C"/>
    <w:rsid w:val="008E29F1"/>
    <w:rsid w:val="008E39F5"/>
    <w:rsid w:val="008E4025"/>
    <w:rsid w:val="008E432D"/>
    <w:rsid w:val="008E66AD"/>
    <w:rsid w:val="008E7F38"/>
    <w:rsid w:val="008F1695"/>
    <w:rsid w:val="008F1C52"/>
    <w:rsid w:val="008F1E9C"/>
    <w:rsid w:val="008F225C"/>
    <w:rsid w:val="008F5108"/>
    <w:rsid w:val="008F5540"/>
    <w:rsid w:val="008F7A02"/>
    <w:rsid w:val="00900C3D"/>
    <w:rsid w:val="009049A1"/>
    <w:rsid w:val="00904B85"/>
    <w:rsid w:val="00905CBF"/>
    <w:rsid w:val="00913381"/>
    <w:rsid w:val="009133CC"/>
    <w:rsid w:val="00914E8B"/>
    <w:rsid w:val="00914FA6"/>
    <w:rsid w:val="0091540E"/>
    <w:rsid w:val="009176AB"/>
    <w:rsid w:val="00917E6F"/>
    <w:rsid w:val="00921766"/>
    <w:rsid w:val="00921EB4"/>
    <w:rsid w:val="00922326"/>
    <w:rsid w:val="009223A4"/>
    <w:rsid w:val="00924004"/>
    <w:rsid w:val="00924FF3"/>
    <w:rsid w:val="00926005"/>
    <w:rsid w:val="00927316"/>
    <w:rsid w:val="00927626"/>
    <w:rsid w:val="00930641"/>
    <w:rsid w:val="00931306"/>
    <w:rsid w:val="0093341B"/>
    <w:rsid w:val="009342D7"/>
    <w:rsid w:val="0093496D"/>
    <w:rsid w:val="00934C33"/>
    <w:rsid w:val="00934D7D"/>
    <w:rsid w:val="0093533E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BB7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662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82D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2D25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1D1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B7848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1B7B"/>
    <w:rsid w:val="00AF276C"/>
    <w:rsid w:val="00AF4886"/>
    <w:rsid w:val="00AF5BFD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077FC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1B8"/>
    <w:rsid w:val="00B218F7"/>
    <w:rsid w:val="00B26BDA"/>
    <w:rsid w:val="00B26D76"/>
    <w:rsid w:val="00B27C71"/>
    <w:rsid w:val="00B309B7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839"/>
    <w:rsid w:val="00B57E38"/>
    <w:rsid w:val="00B57FFC"/>
    <w:rsid w:val="00B60E92"/>
    <w:rsid w:val="00B6124F"/>
    <w:rsid w:val="00B61CB0"/>
    <w:rsid w:val="00B61F16"/>
    <w:rsid w:val="00B6309C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717"/>
    <w:rsid w:val="00BC0BD0"/>
    <w:rsid w:val="00BC21F6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579D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37D"/>
    <w:rsid w:val="00C447D2"/>
    <w:rsid w:val="00C44C1B"/>
    <w:rsid w:val="00C452FB"/>
    <w:rsid w:val="00C4580C"/>
    <w:rsid w:val="00C45A10"/>
    <w:rsid w:val="00C45B95"/>
    <w:rsid w:val="00C46992"/>
    <w:rsid w:val="00C46D9B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4FFB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5A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9E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913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0408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3F9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8FD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132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775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369A"/>
    <w:rsid w:val="00D74EDF"/>
    <w:rsid w:val="00D757B3"/>
    <w:rsid w:val="00D75D75"/>
    <w:rsid w:val="00D76959"/>
    <w:rsid w:val="00D76A1D"/>
    <w:rsid w:val="00D772F4"/>
    <w:rsid w:val="00D8037F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A7546"/>
    <w:rsid w:val="00DB08F6"/>
    <w:rsid w:val="00DB0B3E"/>
    <w:rsid w:val="00DB0EC9"/>
    <w:rsid w:val="00DB1876"/>
    <w:rsid w:val="00DB2F33"/>
    <w:rsid w:val="00DB5BA2"/>
    <w:rsid w:val="00DB7505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7FF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5F7E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27DEB"/>
    <w:rsid w:val="00E30F55"/>
    <w:rsid w:val="00E315BE"/>
    <w:rsid w:val="00E337B5"/>
    <w:rsid w:val="00E342B2"/>
    <w:rsid w:val="00E34504"/>
    <w:rsid w:val="00E350AD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224B"/>
    <w:rsid w:val="00E542A4"/>
    <w:rsid w:val="00E5457A"/>
    <w:rsid w:val="00E552E0"/>
    <w:rsid w:val="00E55755"/>
    <w:rsid w:val="00E564A7"/>
    <w:rsid w:val="00E566A5"/>
    <w:rsid w:val="00E57300"/>
    <w:rsid w:val="00E617FA"/>
    <w:rsid w:val="00E61F77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265C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15D"/>
    <w:rsid w:val="00EA2655"/>
    <w:rsid w:val="00EA2A46"/>
    <w:rsid w:val="00EA305D"/>
    <w:rsid w:val="00EA38A1"/>
    <w:rsid w:val="00EA59E6"/>
    <w:rsid w:val="00EA5B94"/>
    <w:rsid w:val="00EA70FD"/>
    <w:rsid w:val="00EA7546"/>
    <w:rsid w:val="00EB02A5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1AB"/>
    <w:rsid w:val="00EC725C"/>
    <w:rsid w:val="00ED1491"/>
    <w:rsid w:val="00ED1639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1D5C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1A2F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2C4C"/>
    <w:rsid w:val="00F23B54"/>
    <w:rsid w:val="00F25625"/>
    <w:rsid w:val="00F25F80"/>
    <w:rsid w:val="00F2731E"/>
    <w:rsid w:val="00F30552"/>
    <w:rsid w:val="00F30A03"/>
    <w:rsid w:val="00F32D0A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29A3"/>
    <w:rsid w:val="00F4312E"/>
    <w:rsid w:val="00F43712"/>
    <w:rsid w:val="00F43870"/>
    <w:rsid w:val="00F439BF"/>
    <w:rsid w:val="00F44397"/>
    <w:rsid w:val="00F44B67"/>
    <w:rsid w:val="00F44FBD"/>
    <w:rsid w:val="00F44FE2"/>
    <w:rsid w:val="00F47024"/>
    <w:rsid w:val="00F47F4A"/>
    <w:rsid w:val="00F510D3"/>
    <w:rsid w:val="00F52540"/>
    <w:rsid w:val="00F526FE"/>
    <w:rsid w:val="00F52850"/>
    <w:rsid w:val="00F5310E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5C1E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87CB0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AB0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5EA7-7DEA-4242-9223-C128AE66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38</Pages>
  <Words>6657</Words>
  <Characters>37949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44517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10</cp:revision>
  <cp:lastPrinted>2020-03-12T04:00:00Z</cp:lastPrinted>
  <dcterms:created xsi:type="dcterms:W3CDTF">2020-03-06T05:31:00Z</dcterms:created>
  <dcterms:modified xsi:type="dcterms:W3CDTF">2020-03-12T04:12:00Z</dcterms:modified>
</cp:coreProperties>
</file>